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>2024年广东省中小学生棒垒球锦标赛</w:t>
      </w:r>
    </w:p>
    <w:p>
      <w:pPr>
        <w:spacing w:line="240" w:lineRule="auto"/>
        <w:jc w:val="center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中学甲、乙组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男子棒球、女子垒球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）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竞赛规则</w:t>
      </w:r>
    </w:p>
    <w:p>
      <w:pPr>
        <w:numPr>
          <w:ilvl w:val="0"/>
          <w:numId w:val="0"/>
        </w:numPr>
        <w:spacing w:line="360" w:lineRule="auto"/>
        <w:rPr>
          <w:rFonts w:hint="eastAsia" w:ascii="微软雅黑" w:hAnsi="微软雅黑" w:eastAsia="微软雅黑" w:cs="微软雅黑"/>
          <w:b/>
          <w:bCs/>
          <w:color w:val="333333"/>
          <w:spacing w:val="7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333333"/>
          <w:spacing w:val="7"/>
          <w:kern w:val="0"/>
          <w:sz w:val="24"/>
          <w:szCs w:val="24"/>
          <w:shd w:val="clear" w:color="auto" w:fill="FFFFFF"/>
          <w:lang w:val="en-US" w:eastAsia="zh-CN" w:bidi="ar"/>
        </w:rPr>
        <w:t>一、场地规格</w:t>
      </w:r>
    </w:p>
    <w:tbl>
      <w:tblPr>
        <w:tblStyle w:val="6"/>
        <w:tblW w:w="81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1242"/>
        <w:gridCol w:w="1615"/>
        <w:gridCol w:w="1572"/>
        <w:gridCol w:w="2268"/>
      </w:tblGrid>
      <w:tr>
        <w:tblPrEx>
          <w:tblLayout w:type="fixed"/>
        </w:tblPrEx>
        <w:trPr>
          <w:jc w:val="center"/>
        </w:trPr>
        <w:tc>
          <w:tcPr>
            <w:tcW w:w="2645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  <w:t>组别</w:t>
            </w:r>
          </w:p>
        </w:tc>
        <w:tc>
          <w:tcPr>
            <w:tcW w:w="161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lang w:bidi="ar"/>
              </w:rPr>
              <w:t>投球距离</w:t>
            </w:r>
          </w:p>
        </w:tc>
        <w:tc>
          <w:tcPr>
            <w:tcW w:w="1572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lang w:bidi="ar"/>
              </w:rPr>
              <w:t>垒间距离</w:t>
            </w:r>
          </w:p>
        </w:tc>
        <w:tc>
          <w:tcPr>
            <w:tcW w:w="2268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lang w:bidi="ar"/>
              </w:rPr>
              <w:t>本垒打距离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1403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  <w:t>中学乙组</w:t>
            </w:r>
          </w:p>
        </w:tc>
        <w:tc>
          <w:tcPr>
            <w:tcW w:w="1242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  <w:t>男子棒球</w:t>
            </w:r>
          </w:p>
        </w:tc>
        <w:tc>
          <w:tcPr>
            <w:tcW w:w="161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yellow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lang w:bidi="ar"/>
              </w:rPr>
              <w:t>18.44米</w:t>
            </w:r>
          </w:p>
        </w:tc>
        <w:tc>
          <w:tcPr>
            <w:tcW w:w="1572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lang w:bidi="ar"/>
              </w:rPr>
              <w:t>27.43米</w:t>
            </w:r>
          </w:p>
        </w:tc>
        <w:tc>
          <w:tcPr>
            <w:tcW w:w="2268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lang w:bidi="ar"/>
              </w:rPr>
              <w:t>不少于78米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140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</w:pPr>
          </w:p>
        </w:tc>
        <w:tc>
          <w:tcPr>
            <w:tcW w:w="1242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  <w:t>女子垒球</w:t>
            </w:r>
          </w:p>
        </w:tc>
        <w:tc>
          <w:tcPr>
            <w:tcW w:w="161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lang w:bidi="ar"/>
              </w:rPr>
              <w:t>12.19米</w:t>
            </w:r>
          </w:p>
        </w:tc>
        <w:tc>
          <w:tcPr>
            <w:tcW w:w="1572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lang w:bidi="ar"/>
              </w:rPr>
              <w:t>18.29米</w:t>
            </w:r>
          </w:p>
        </w:tc>
        <w:tc>
          <w:tcPr>
            <w:tcW w:w="2268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lang w:bidi="ar"/>
              </w:rPr>
              <w:t>不少于67.06米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1403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  <w:t>中学甲组</w:t>
            </w:r>
          </w:p>
        </w:tc>
        <w:tc>
          <w:tcPr>
            <w:tcW w:w="1242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  <w:t>男子棒球</w:t>
            </w:r>
          </w:p>
        </w:tc>
        <w:tc>
          <w:tcPr>
            <w:tcW w:w="161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lang w:bidi="ar"/>
              </w:rPr>
              <w:t>18.44米</w:t>
            </w:r>
          </w:p>
        </w:tc>
        <w:tc>
          <w:tcPr>
            <w:tcW w:w="1572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lang w:bidi="ar"/>
              </w:rPr>
              <w:t>27.43米</w:t>
            </w:r>
          </w:p>
        </w:tc>
        <w:tc>
          <w:tcPr>
            <w:tcW w:w="2268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lang w:bidi="ar"/>
              </w:rPr>
              <w:t>不少于</w:t>
            </w:r>
            <w:r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 w:bidi="ar"/>
              </w:rPr>
              <w:t>9</w:t>
            </w:r>
            <w:r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lang w:bidi="ar"/>
              </w:rPr>
              <w:t>8米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1403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</w:pPr>
          </w:p>
        </w:tc>
        <w:tc>
          <w:tcPr>
            <w:tcW w:w="1242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  <w:t>女子垒球</w:t>
            </w:r>
          </w:p>
        </w:tc>
        <w:tc>
          <w:tcPr>
            <w:tcW w:w="1615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lang w:bidi="ar"/>
              </w:rPr>
              <w:t>12.19米</w:t>
            </w:r>
          </w:p>
        </w:tc>
        <w:tc>
          <w:tcPr>
            <w:tcW w:w="1572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lang w:bidi="ar"/>
              </w:rPr>
              <w:t>18.29米</w:t>
            </w:r>
          </w:p>
        </w:tc>
        <w:tc>
          <w:tcPr>
            <w:tcW w:w="2268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pacing w:val="7"/>
                <w:kern w:val="0"/>
                <w:sz w:val="24"/>
                <w:szCs w:val="24"/>
                <w:highlight w:val="none"/>
                <w:shd w:val="clear" w:color="auto" w:fill="FFFFFF"/>
                <w:lang w:bidi="ar"/>
              </w:rPr>
              <w:t>不少于67.06米</w:t>
            </w:r>
          </w:p>
        </w:tc>
      </w:tr>
    </w:tbl>
    <w:p>
      <w:pPr>
        <w:numPr>
          <w:ilvl w:val="0"/>
          <w:numId w:val="0"/>
        </w:numPr>
        <w:spacing w:line="360" w:lineRule="auto"/>
        <w:rPr>
          <w:rFonts w:hint="eastAsia" w:ascii="微软雅黑" w:hAnsi="微软雅黑" w:eastAsia="微软雅黑" w:cs="微软雅黑"/>
          <w:b/>
          <w:bCs/>
          <w:color w:val="333333"/>
          <w:spacing w:val="7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333333"/>
          <w:spacing w:val="7"/>
          <w:kern w:val="0"/>
          <w:sz w:val="24"/>
          <w:szCs w:val="24"/>
          <w:shd w:val="clear" w:color="auto" w:fill="FFFFFF"/>
          <w:lang w:val="en-US" w:eastAsia="zh-CN" w:bidi="ar"/>
        </w:rPr>
        <w:t>二、比赛时间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每场比赛为7局或90分钟，以先到为准（有效局3局）</w:t>
      </w:r>
      <w:r>
        <w:rPr>
          <w:rFonts w:hint="eastAsia" w:ascii="仿宋" w:hAnsi="仿宋" w:eastAsia="仿宋" w:cs="仿宋"/>
          <w:color w:val="333333"/>
          <w:spacing w:val="7"/>
          <w:sz w:val="24"/>
          <w:szCs w:val="24"/>
          <w:shd w:val="clear" w:color="auto" w:fill="FFFFFF"/>
        </w:rPr>
        <w:t>,比赛剩余时间少于10分钟不开新局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。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后攻队领先时，比赛进行至90分钟可结束，不必完成完整局。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小组赛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不采用延长局制，如平局双方各得1分。名次赛阶段，若7局比赛结束后仍未分出胜负，则在第8局开始时，在一、二垒放置跑垒员，直到比赛分出胜负。</w:t>
      </w:r>
    </w:p>
    <w:p>
      <w:pPr>
        <w:spacing w:line="360" w:lineRule="auto"/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双方比分三局相差15分及以上，四局相差10分及以上，五局相差7分及以上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eastAsia="zh-CN" w:bidi="ar"/>
        </w:rPr>
        <w:t>时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，即可结束比赛。</w:t>
      </w:r>
    </w:p>
    <w:p>
      <w:pPr>
        <w:spacing w:line="360" w:lineRule="auto"/>
        <w:rPr>
          <w:rFonts w:hint="eastAsia" w:ascii="仿宋" w:hAnsi="仿宋" w:eastAsia="仿宋" w:cs="仿宋"/>
          <w:color w:val="auto"/>
          <w:spacing w:val="7"/>
          <w:sz w:val="24"/>
          <w:szCs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24"/>
          <w:szCs w:val="24"/>
          <w:highlight w:val="none"/>
          <w:shd w:val="clear" w:color="auto" w:fill="FFFFFF"/>
        </w:rPr>
        <w:t>攻</w:t>
      </w:r>
      <w:r>
        <w:rPr>
          <w:rFonts w:hint="eastAsia" w:ascii="仿宋" w:hAnsi="仿宋" w:eastAsia="仿宋" w:cs="仿宋"/>
          <w:b/>
          <w:bCs/>
          <w:color w:val="auto"/>
          <w:spacing w:val="7"/>
          <w:sz w:val="24"/>
          <w:szCs w:val="24"/>
          <w:highlight w:val="none"/>
          <w:shd w:val="clear" w:color="auto" w:fill="FFFFFF"/>
          <w:lang w:val="en-US" w:eastAsia="zh-CN"/>
        </w:rPr>
        <w:t>守</w:t>
      </w:r>
      <w:r>
        <w:rPr>
          <w:rFonts w:hint="eastAsia" w:ascii="仿宋" w:hAnsi="仿宋" w:eastAsia="仿宋" w:cs="仿宋"/>
          <w:b/>
          <w:bCs/>
          <w:color w:val="auto"/>
          <w:spacing w:val="7"/>
          <w:sz w:val="24"/>
          <w:szCs w:val="24"/>
          <w:highlight w:val="none"/>
          <w:shd w:val="clear" w:color="auto" w:fill="FFFFFF"/>
        </w:rPr>
        <w:t>交换：</w:t>
      </w:r>
      <w:r>
        <w:rPr>
          <w:rFonts w:hint="eastAsia" w:ascii="仿宋" w:hAnsi="仿宋" w:eastAsia="仿宋" w:cs="仿宋"/>
          <w:b w:val="0"/>
          <w:bCs w:val="0"/>
          <w:color w:val="333333"/>
          <w:spacing w:val="7"/>
          <w:sz w:val="24"/>
          <w:szCs w:val="24"/>
          <w:highlight w:val="none"/>
          <w:shd w:val="clear" w:color="auto" w:fill="FFFFFF"/>
          <w:lang w:val="en-US" w:eastAsia="zh-CN"/>
        </w:rPr>
        <w:t>进攻方单局得到9分，或3人出局</w:t>
      </w:r>
      <w:r>
        <w:rPr>
          <w:rFonts w:hint="eastAsia" w:ascii="仿宋" w:hAnsi="仿宋" w:eastAsia="仿宋" w:cs="仿宋"/>
          <w:color w:val="auto"/>
          <w:spacing w:val="7"/>
          <w:sz w:val="24"/>
          <w:szCs w:val="24"/>
          <w:highlight w:val="none"/>
          <w:shd w:val="clear" w:color="auto" w:fill="FFFFFF"/>
        </w:rPr>
        <w:t>，攻守交换，不记录残垒。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微软雅黑" w:hAnsi="微软雅黑" w:eastAsia="微软雅黑" w:cs="微软雅黑"/>
          <w:b/>
          <w:bCs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highlight w:val="none"/>
          <w:lang w:val="en-US" w:eastAsia="zh-CN"/>
        </w:rPr>
        <w:t>三、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highlight w:val="none"/>
        </w:rPr>
        <w:t>竞赛规则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方正楷体简体" w:hAnsi="方正楷体简体" w:eastAsia="方正楷体简体" w:cs="方正楷体简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sz w:val="24"/>
          <w:szCs w:val="24"/>
          <w:highlight w:val="none"/>
          <w:lang w:val="en-US" w:eastAsia="zh-CN"/>
        </w:rPr>
        <w:t>男子棒球规则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（一）除规程特殊规定外，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按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中国棒球协会审定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最新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版《棒球规则》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执行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（二）设置投球数限制，投手投球数达到指定数量时，必须在赛会监督下休息指定天数后方可再次投球，被限制投球的运动员可以作为除投手以外的位置上场比赛。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1.乙组投球数和休息时间</w:t>
      </w:r>
    </w:p>
    <w:tbl>
      <w:tblPr>
        <w:tblStyle w:val="5"/>
        <w:tblW w:w="4998" w:type="pct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3"/>
        <w:gridCol w:w="3886"/>
      </w:tblGrid>
      <w:tr>
        <w:tblPrEx>
          <w:tblLayout w:type="fixed"/>
        </w:tblPrEx>
        <w:trPr>
          <w:trHeight w:val="645" w:hRule="atLeast"/>
          <w:jc w:val="center"/>
        </w:trPr>
        <w:tc>
          <w:tcPr>
            <w:tcW w:w="4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eastAsia" w:ascii="方正楷体简体" w:hAnsi="方正楷体简体" w:eastAsia="方正楷体简体" w:cs="方正楷体简体"/>
                <w:sz w:val="24"/>
                <w:szCs w:val="24"/>
                <w:highlight w:val="none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  <w:szCs w:val="24"/>
                <w:highlight w:val="none"/>
                <w:lang w:val="en-US" w:eastAsia="zh-CN"/>
              </w:rPr>
              <w:t>投球数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eastAsia" w:ascii="方正楷体简体" w:hAnsi="方正楷体简体" w:eastAsia="方正楷体简体" w:cs="方正楷体简体"/>
                <w:sz w:val="24"/>
                <w:szCs w:val="24"/>
                <w:highlight w:val="none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  <w:szCs w:val="24"/>
                <w:highlight w:val="none"/>
                <w:lang w:val="en-US" w:eastAsia="zh-CN"/>
              </w:rPr>
              <w:t>休息时间</w:t>
            </w:r>
          </w:p>
        </w:tc>
      </w:tr>
      <w:tr>
        <w:tblPrEx>
          <w:tblLayout w:type="fixed"/>
        </w:tblPrEx>
        <w:trPr>
          <w:trHeight w:val="640" w:hRule="atLeast"/>
          <w:jc w:val="center"/>
        </w:trPr>
        <w:tc>
          <w:tcPr>
            <w:tcW w:w="4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1-35球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可不休息</w:t>
            </w:r>
          </w:p>
        </w:tc>
      </w:tr>
      <w:tr>
        <w:tblPrEx>
          <w:tblLayout w:type="fixed"/>
        </w:tblPrEx>
        <w:trPr>
          <w:trHeight w:val="650" w:hRule="atLeast"/>
          <w:jc w:val="center"/>
        </w:trPr>
        <w:tc>
          <w:tcPr>
            <w:tcW w:w="4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36-50球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1天</w:t>
            </w:r>
          </w:p>
        </w:tc>
      </w:tr>
      <w:tr>
        <w:tblPrEx>
          <w:tblLayout w:type="fixed"/>
        </w:tblPrEx>
        <w:trPr>
          <w:trHeight w:val="650" w:hRule="atLeast"/>
          <w:jc w:val="center"/>
        </w:trPr>
        <w:tc>
          <w:tcPr>
            <w:tcW w:w="4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51-65球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2天</w:t>
            </w:r>
          </w:p>
        </w:tc>
      </w:tr>
      <w:tr>
        <w:tblPrEx>
          <w:tblLayout w:type="fixed"/>
        </w:tblPrEx>
        <w:trPr>
          <w:trHeight w:val="630" w:hRule="atLeast"/>
          <w:jc w:val="center"/>
        </w:trPr>
        <w:tc>
          <w:tcPr>
            <w:tcW w:w="4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66-80球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3天</w:t>
            </w:r>
          </w:p>
        </w:tc>
      </w:tr>
      <w:tr>
        <w:tblPrEx>
          <w:tblLayout w:type="fixed"/>
        </w:tblPrEx>
        <w:trPr>
          <w:trHeight w:val="655" w:hRule="atLeast"/>
          <w:jc w:val="center"/>
        </w:trPr>
        <w:tc>
          <w:tcPr>
            <w:tcW w:w="4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81-95球(最多95球)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4天</w:t>
            </w:r>
          </w:p>
        </w:tc>
      </w:tr>
      <w:tr>
        <w:tblPrEx>
          <w:tblLayout w:type="fixed"/>
        </w:tblPrEx>
        <w:trPr>
          <w:trHeight w:val="655" w:hRule="atLeast"/>
          <w:jc w:val="center"/>
        </w:trPr>
        <w:tc>
          <w:tcPr>
            <w:tcW w:w="85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333333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如果投手的前2天投球数加起来超过35个，投手将不得连续在第3天投球。投手连续3天投球后，即使没有达到限制数，也必须休息1天。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333333"/>
          <w:kern w:val="0"/>
          <w:sz w:val="24"/>
          <w:szCs w:val="24"/>
          <w:highlight w:val="none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2.甲组投球数和休息时间</w:t>
      </w:r>
    </w:p>
    <w:tbl>
      <w:tblPr>
        <w:tblStyle w:val="5"/>
        <w:tblW w:w="4998" w:type="pct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3"/>
        <w:gridCol w:w="3886"/>
      </w:tblGrid>
      <w:tr>
        <w:tblPrEx>
          <w:tblLayout w:type="fixed"/>
        </w:tblPrEx>
        <w:trPr>
          <w:trHeight w:val="645" w:hRule="atLeast"/>
          <w:jc w:val="center"/>
        </w:trPr>
        <w:tc>
          <w:tcPr>
            <w:tcW w:w="4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eastAsia" w:ascii="方正楷体简体" w:hAnsi="方正楷体简体" w:eastAsia="方正楷体简体" w:cs="方正楷体简体"/>
                <w:sz w:val="24"/>
                <w:szCs w:val="24"/>
                <w:highlight w:val="none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  <w:szCs w:val="24"/>
                <w:highlight w:val="none"/>
                <w:lang w:val="en-US" w:eastAsia="zh-CN"/>
              </w:rPr>
              <w:t>投球数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eastAsia" w:ascii="方正楷体简体" w:hAnsi="方正楷体简体" w:eastAsia="方正楷体简体" w:cs="方正楷体简体"/>
                <w:sz w:val="24"/>
                <w:szCs w:val="24"/>
                <w:highlight w:val="none"/>
              </w:rPr>
            </w:pPr>
            <w:r>
              <w:rPr>
                <w:rFonts w:hint="eastAsia" w:ascii="方正楷体简体" w:hAnsi="方正楷体简体" w:eastAsia="方正楷体简体" w:cs="方正楷体简体"/>
                <w:sz w:val="24"/>
                <w:szCs w:val="24"/>
                <w:highlight w:val="none"/>
                <w:lang w:val="en-US" w:eastAsia="zh-CN"/>
              </w:rPr>
              <w:t>休息时间</w:t>
            </w:r>
          </w:p>
        </w:tc>
      </w:tr>
      <w:tr>
        <w:tblPrEx>
          <w:tblLayout w:type="fixed"/>
        </w:tblPrEx>
        <w:trPr>
          <w:trHeight w:val="640" w:hRule="atLeast"/>
          <w:jc w:val="center"/>
        </w:trPr>
        <w:tc>
          <w:tcPr>
            <w:tcW w:w="4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1-49球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可不休息</w:t>
            </w:r>
          </w:p>
        </w:tc>
      </w:tr>
      <w:tr>
        <w:tblPrEx>
          <w:tblLayout w:type="fixed"/>
        </w:tblPrEx>
        <w:trPr>
          <w:trHeight w:val="650" w:hRule="atLeast"/>
          <w:jc w:val="center"/>
        </w:trPr>
        <w:tc>
          <w:tcPr>
            <w:tcW w:w="4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50-104球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1天</w:t>
            </w:r>
          </w:p>
        </w:tc>
      </w:tr>
      <w:tr>
        <w:tblPrEx>
          <w:tblLayout w:type="fixed"/>
        </w:tblPrEx>
        <w:trPr>
          <w:trHeight w:val="650" w:hRule="atLeast"/>
          <w:jc w:val="center"/>
        </w:trPr>
        <w:tc>
          <w:tcPr>
            <w:tcW w:w="4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最多105球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4天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333333"/>
          <w:kern w:val="0"/>
          <w:sz w:val="24"/>
          <w:szCs w:val="24"/>
          <w:highlight w:val="none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333333"/>
          <w:kern w:val="0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333333"/>
          <w:kern w:val="0"/>
          <w:sz w:val="24"/>
          <w:szCs w:val="24"/>
          <w:highlight w:val="none"/>
          <w:shd w:val="clear" w:color="auto" w:fill="FFFFFF"/>
          <w:lang w:val="en-US" w:eastAsia="zh-CN"/>
        </w:rPr>
        <w:t>3.如果一名投手在球数达到95球（乙组）或达到105球（甲组）时，当前击球员没有完成击球任务，该名投手可以继续投球直至该名击球员完成击球任务。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333333"/>
          <w:kern w:val="0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333333"/>
          <w:kern w:val="0"/>
          <w:sz w:val="24"/>
          <w:szCs w:val="24"/>
          <w:highlight w:val="none"/>
          <w:shd w:val="clear" w:color="auto" w:fill="FFFFFF"/>
          <w:lang w:val="en-US" w:eastAsia="zh-CN"/>
        </w:rPr>
        <w:t>4.投手投球数将由官方记录员准确记录，同一天比赛中同一投手的投球数将会被累计，所有投手球数情况将在当日比赛全部结束后公布。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333333"/>
          <w:kern w:val="0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333333"/>
          <w:kern w:val="0"/>
          <w:sz w:val="24"/>
          <w:szCs w:val="24"/>
          <w:highlight w:val="none"/>
          <w:shd w:val="clear" w:color="auto" w:fill="FFFFFF"/>
          <w:lang w:val="en-US" w:eastAsia="zh-CN"/>
        </w:rPr>
        <w:t>5.违反投手投球数限制，如主教练执意不更换投手时，裁判员判其该场比赛 0:20 告负。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333333"/>
          <w:kern w:val="0"/>
          <w:sz w:val="24"/>
          <w:szCs w:val="24"/>
          <w:highlight w:val="none"/>
          <w:shd w:val="clear" w:color="auto" w:fill="FFFFFF"/>
          <w:lang w:val="en-US" w:eastAsia="zh-CN"/>
        </w:rPr>
        <w:t>6.不计入投球数统计的情况: 牵制球、投手犯规（无论球是否投出）、故意四坏保送中没有实际发生的投球。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333333"/>
          <w:kern w:val="0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333333"/>
          <w:kern w:val="0"/>
          <w:sz w:val="24"/>
          <w:szCs w:val="24"/>
          <w:highlight w:val="none"/>
          <w:shd w:val="clear" w:color="auto" w:fill="FFFFFF"/>
          <w:lang w:val="en-US" w:eastAsia="zh-CN"/>
        </w:rPr>
        <w:t>7.投球数规则举例</w:t>
      </w:r>
    </w:p>
    <w:tbl>
      <w:tblPr>
        <w:tblStyle w:val="5"/>
        <w:tblW w:w="4997" w:type="pct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8"/>
        <w:gridCol w:w="1063"/>
        <w:gridCol w:w="1053"/>
        <w:gridCol w:w="10"/>
        <w:gridCol w:w="1065"/>
        <w:gridCol w:w="1046"/>
        <w:gridCol w:w="14"/>
        <w:gridCol w:w="1056"/>
        <w:gridCol w:w="2"/>
        <w:gridCol w:w="1075"/>
        <w:gridCol w:w="1085"/>
      </w:tblGrid>
      <w:tr>
        <w:tblPrEx>
          <w:tblLayout w:type="fixed"/>
        </w:tblPrEx>
        <w:trPr>
          <w:trHeight w:val="397" w:hRule="atLeast"/>
          <w:jc w:val="center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投手</w:t>
            </w:r>
          </w:p>
        </w:tc>
        <w:tc>
          <w:tcPr>
            <w:tcW w:w="10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第一天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第二天</w:t>
            </w:r>
          </w:p>
        </w:tc>
        <w:tc>
          <w:tcPr>
            <w:tcW w:w="10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第三天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第四天</w:t>
            </w:r>
          </w:p>
        </w:tc>
        <w:tc>
          <w:tcPr>
            <w:tcW w:w="10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第五天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第六天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第七天</w:t>
            </w:r>
          </w:p>
        </w:tc>
      </w:tr>
      <w:tr>
        <w:tblPrEx>
          <w:tblLayout w:type="fixed"/>
        </w:tblPrEx>
        <w:trPr>
          <w:trHeight w:val="397" w:hRule="atLeast"/>
          <w:jc w:val="center"/>
        </w:trPr>
        <w:tc>
          <w:tcPr>
            <w:tcW w:w="8517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乙组</w:t>
            </w:r>
          </w:p>
        </w:tc>
      </w:tr>
      <w:tr>
        <w:tblPrEx>
          <w:tblLayout w:type="fixed"/>
        </w:tblPrEx>
        <w:trPr>
          <w:trHeight w:val="397" w:hRule="atLeast"/>
          <w:jc w:val="center"/>
        </w:trPr>
        <w:tc>
          <w:tcPr>
            <w:tcW w:w="10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投手1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25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97" w:hRule="atLeast"/>
          <w:jc w:val="center"/>
        </w:trPr>
        <w:tc>
          <w:tcPr>
            <w:tcW w:w="10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投手2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50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97" w:hRule="atLeast"/>
          <w:jc w:val="center"/>
        </w:trPr>
        <w:tc>
          <w:tcPr>
            <w:tcW w:w="10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投手3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65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97" w:hRule="atLeast"/>
          <w:jc w:val="center"/>
        </w:trPr>
        <w:tc>
          <w:tcPr>
            <w:tcW w:w="10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投手4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97" w:hRule="atLeast"/>
          <w:jc w:val="center"/>
        </w:trPr>
        <w:tc>
          <w:tcPr>
            <w:tcW w:w="10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投手5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95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Layout w:type="fixed"/>
        </w:tblPrEx>
        <w:trPr>
          <w:trHeight w:val="397" w:hRule="atLeast"/>
          <w:jc w:val="center"/>
        </w:trPr>
        <w:tc>
          <w:tcPr>
            <w:tcW w:w="10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投手6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30</w:t>
            </w:r>
          </w:p>
        </w:tc>
        <w:tc>
          <w:tcPr>
            <w:tcW w:w="1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Layout w:type="fixed"/>
        </w:tblPrEx>
        <w:trPr>
          <w:trHeight w:val="397" w:hRule="atLeast"/>
          <w:jc w:val="center"/>
        </w:trPr>
        <w:tc>
          <w:tcPr>
            <w:tcW w:w="10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投手7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45</w:t>
            </w:r>
          </w:p>
        </w:tc>
        <w:tc>
          <w:tcPr>
            <w:tcW w:w="1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Layout w:type="fixed"/>
        </w:tblPrEx>
        <w:trPr>
          <w:trHeight w:val="397" w:hRule="atLeast"/>
          <w:jc w:val="center"/>
        </w:trPr>
        <w:tc>
          <w:tcPr>
            <w:tcW w:w="10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投手8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62</w:t>
            </w:r>
          </w:p>
        </w:tc>
        <w:tc>
          <w:tcPr>
            <w:tcW w:w="1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Layout w:type="fixed"/>
        </w:tblPrEx>
        <w:trPr>
          <w:trHeight w:val="397" w:hRule="atLeast"/>
          <w:jc w:val="center"/>
        </w:trPr>
        <w:tc>
          <w:tcPr>
            <w:tcW w:w="10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投手9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75</w:t>
            </w:r>
          </w:p>
        </w:tc>
        <w:tc>
          <w:tcPr>
            <w:tcW w:w="1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Layout w:type="fixed"/>
        </w:tblPrEx>
        <w:trPr>
          <w:trHeight w:val="397" w:hRule="atLeast"/>
          <w:jc w:val="center"/>
        </w:trPr>
        <w:tc>
          <w:tcPr>
            <w:tcW w:w="10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投手10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91</w:t>
            </w:r>
          </w:p>
        </w:tc>
        <w:tc>
          <w:tcPr>
            <w:tcW w:w="1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</w:tr>
      <w:tr>
        <w:tblPrEx>
          <w:tblLayout w:type="fixed"/>
        </w:tblPrEx>
        <w:trPr>
          <w:trHeight w:val="397" w:hRule="atLeast"/>
          <w:jc w:val="center"/>
        </w:trPr>
        <w:tc>
          <w:tcPr>
            <w:tcW w:w="8517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甲组</w:t>
            </w:r>
          </w:p>
        </w:tc>
      </w:tr>
      <w:tr>
        <w:tblPrEx>
          <w:tblLayout w:type="fixed"/>
        </w:tblPrEx>
        <w:trPr>
          <w:trHeight w:val="397" w:hRule="atLeast"/>
          <w:jc w:val="center"/>
        </w:trPr>
        <w:tc>
          <w:tcPr>
            <w:tcW w:w="10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投手1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25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97" w:hRule="atLeast"/>
          <w:jc w:val="center"/>
        </w:trPr>
        <w:tc>
          <w:tcPr>
            <w:tcW w:w="10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投手2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50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397" w:hRule="atLeast"/>
          <w:jc w:val="center"/>
        </w:trPr>
        <w:tc>
          <w:tcPr>
            <w:tcW w:w="10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投手3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105</w:t>
            </w:r>
          </w:p>
        </w:tc>
        <w:tc>
          <w:tcPr>
            <w:tcW w:w="10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X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both"/>
        <w:textAlignment w:val="auto"/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 w:val="0"/>
          <w:bCs/>
          <w:color w:val="333333"/>
          <w:kern w:val="0"/>
          <w:sz w:val="24"/>
          <w:szCs w:val="24"/>
          <w:highlight w:val="none"/>
          <w:shd w:val="clear" w:color="auto" w:fill="FFFFFF"/>
          <w:lang w:val="en-US" w:eastAsia="zh-CN"/>
        </w:rPr>
        <w:t>注:阴影X是强制休息日，不可投球。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（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三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）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防守队教练同一局中对同一投手只能进场指导1次。该局中第2次对该投手进场指导时，必须更换投手。在同一击球员击球时，教练员不得第2次上场指导投手。</w:t>
      </w:r>
    </w:p>
    <w:p>
      <w:pPr>
        <w:spacing w:line="360" w:lineRule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（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四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）球队如需暂停，更换球员，须由主教练向司球裁判员示意，经允许后方可进场。</w:t>
      </w:r>
    </w:p>
    <w:p>
      <w:pPr>
        <w:spacing w:line="360" w:lineRule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（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五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）关于加速比赛的规定：</w:t>
      </w:r>
    </w:p>
    <w:p>
      <w:pPr>
        <w:spacing w:line="360" w:lineRule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1.</w:t>
      </w: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投手首局可试投5球，局间试投3球。</w:t>
      </w:r>
    </w:p>
    <w:p>
      <w:pPr>
        <w:spacing w:line="360" w:lineRule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2.裁判员宣布交换攻守后，双方队员要迅速跑上跑下，于1分钟内各就各位，准备比赛。</w:t>
      </w:r>
    </w:p>
    <w:p>
      <w:pPr>
        <w:spacing w:line="360" w:lineRule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2.投手的规定：垒上没有跑垒员时，投手12秒钟内必须将球投出，超时判1球。</w:t>
      </w:r>
    </w:p>
    <w:p>
      <w:pPr>
        <w:spacing w:line="360" w:lineRule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3.对击球员的规定：击球员须在主裁宣布“击球员进箱”后10秒钟内到达击球区内准备击球。对超时者裁判员可示意投手投球。在比赛中击球员不得双脚踏出击球区看暗号，</w:t>
      </w: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如违反，判一击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。</w:t>
      </w:r>
    </w:p>
    <w:p>
      <w:pPr>
        <w:spacing w:line="360" w:lineRule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（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六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）关于活垒包规定：</w:t>
      </w:r>
    </w:p>
    <w:p>
      <w:pPr>
        <w:spacing w:line="360" w:lineRule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1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.</w:t>
      </w: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跑垒员滑垒或扑垒而将垒包撞离原垒位，且无向下一个垒位前进的企图判安全。</w:t>
      </w:r>
    </w:p>
    <w:p>
      <w:pPr>
        <w:spacing w:line="360" w:lineRule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2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.</w:t>
      </w: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没有滑垒或扑垒而将垒包脱离原垒位的触杀有效。</w:t>
      </w:r>
    </w:p>
    <w:p>
      <w:pPr>
        <w:spacing w:line="360" w:lineRule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3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.</w:t>
      </w: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连续进垒时，前位跑垒员将垒包带离时，后位跑垒员踏垒位有效。</w:t>
      </w:r>
    </w:p>
    <w:p>
      <w:pPr>
        <w:spacing w:line="360" w:lineRule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（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七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）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器材：比赛使用金属铝合金棒、木棒及硬式棒球。比赛球棒必须是经中国棒球协会认可的名单目录中的球棒，需印有制造厂的商标和出厂合格证。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不得使用碳棒和二段式复合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球棒。</w:t>
      </w:r>
    </w:p>
    <w:p>
      <w:pPr>
        <w:spacing w:line="360" w:lineRule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（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八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）不执行DH规则。</w:t>
      </w:r>
    </w:p>
    <w:p>
      <w:pPr>
        <w:spacing w:line="360" w:lineRule="auto"/>
        <w:jc w:val="left"/>
        <w:rPr>
          <w:rFonts w:ascii="仿宋" w:hAnsi="仿宋" w:eastAsia="仿宋" w:cs="仿宋"/>
          <w:color w:val="FF0000"/>
          <w:sz w:val="24"/>
          <w:szCs w:val="24"/>
          <w:highlight w:val="none"/>
        </w:rPr>
      </w:pP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方正楷体简体" w:hAnsi="方正楷体简体" w:eastAsia="方正楷体简体" w:cs="方正楷体简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sz w:val="24"/>
          <w:szCs w:val="24"/>
          <w:highlight w:val="none"/>
          <w:lang w:val="en-US" w:eastAsia="zh-CN"/>
        </w:rPr>
        <w:t>女子垒球规则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除规程特殊规定外，均采用中国垒球协会最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新审定的《垒球规则》。</w:t>
      </w:r>
    </w:p>
    <w:p>
      <w:pPr>
        <w:spacing w:line="360" w:lineRule="auto"/>
        <w:rPr>
          <w:rFonts w:ascii="仿宋" w:hAnsi="仿宋" w:eastAsia="仿宋" w:cs="仿宋"/>
          <w:spacing w:val="7"/>
          <w:kern w:val="0"/>
          <w:sz w:val="24"/>
          <w:szCs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（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val="en-US" w:eastAsia="zh-CN" w:bidi="ar"/>
        </w:rPr>
        <w:t>二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）在单循环赛中,一名投手一场比赛投球局数不得超过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3局（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踏板即为1局），</w:t>
      </w:r>
      <w:r>
        <w:rPr>
          <w:rFonts w:hint="eastAsia" w:ascii="仿宋" w:hAnsi="仿宋" w:eastAsia="仿宋" w:cs="仿宋"/>
          <w:spacing w:val="7"/>
          <w:kern w:val="0"/>
          <w:sz w:val="24"/>
          <w:szCs w:val="24"/>
          <w:shd w:val="clear" w:color="auto" w:fill="FFFFFF"/>
          <w:lang w:bidi="ar"/>
        </w:rPr>
        <w:t>一经发现，</w:t>
      </w:r>
      <w:r>
        <w:rPr>
          <w:rFonts w:hint="eastAsia" w:ascii="仿宋" w:hAnsi="仿宋" w:eastAsia="仿宋" w:cs="仿宋"/>
          <w:color w:val="auto"/>
          <w:spacing w:val="7"/>
          <w:kern w:val="0"/>
          <w:sz w:val="24"/>
          <w:szCs w:val="24"/>
          <w:shd w:val="clear" w:color="auto" w:fill="FFFFFF"/>
          <w:lang w:bidi="ar"/>
        </w:rPr>
        <w:t>裁判员判该队该场比赛0:</w:t>
      </w:r>
      <w:r>
        <w:rPr>
          <w:rFonts w:hint="eastAsia" w:ascii="仿宋" w:hAnsi="仿宋" w:eastAsia="仿宋" w:cs="仿宋"/>
          <w:color w:val="auto"/>
          <w:spacing w:val="7"/>
          <w:kern w:val="0"/>
          <w:sz w:val="24"/>
          <w:szCs w:val="24"/>
          <w:shd w:val="clear" w:color="auto" w:fill="FFFFFF"/>
          <w:lang w:val="en-US" w:eastAsia="zh-CN" w:bidi="ar"/>
        </w:rPr>
        <w:t>7</w:t>
      </w:r>
      <w:r>
        <w:rPr>
          <w:rFonts w:hint="eastAsia" w:ascii="仿宋" w:hAnsi="仿宋" w:eastAsia="仿宋" w:cs="仿宋"/>
          <w:color w:val="auto"/>
          <w:spacing w:val="7"/>
          <w:kern w:val="0"/>
          <w:sz w:val="24"/>
          <w:szCs w:val="24"/>
          <w:shd w:val="clear" w:color="auto" w:fill="FFFFFF"/>
          <w:lang w:bidi="ar"/>
        </w:rPr>
        <w:t>告负。</w:t>
      </w:r>
      <w:r>
        <w:rPr>
          <w:rFonts w:hint="eastAsia" w:ascii="仿宋" w:hAnsi="仿宋" w:eastAsia="仿宋" w:cs="仿宋"/>
          <w:spacing w:val="7"/>
          <w:kern w:val="0"/>
          <w:sz w:val="24"/>
          <w:szCs w:val="24"/>
          <w:shd w:val="clear" w:color="auto" w:fill="FFFFFF"/>
          <w:lang w:bidi="ar"/>
        </w:rPr>
        <w:t>名次赛不做此限定。</w:t>
      </w:r>
    </w:p>
    <w:p>
      <w:pPr>
        <w:spacing w:line="360" w:lineRule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（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val="en-US" w:eastAsia="zh-CN" w:bidi="ar"/>
        </w:rPr>
        <w:t>三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）关于比赛暂停：</w:t>
      </w: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守队每场比赛教练员或球队代表可以暂停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3</w:t>
      </w: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次，延长局每局可暂停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1</w:t>
      </w: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次。七局内超过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3</w:t>
      </w: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次或延长局每局超过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1</w:t>
      </w: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次，该投手在本场比赛中不得再担任投手，但可以作为场员继续参加比赛。更换投手不作为暂停。攻队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每</w:t>
      </w: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局可暂停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1次</w:t>
      </w: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，但不能超过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1</w:t>
      </w: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次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。</w:t>
      </w:r>
    </w:p>
    <w:p>
      <w:pPr>
        <w:spacing w:line="360" w:lineRule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（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val="en-US" w:eastAsia="zh-CN" w:bidi="ar"/>
        </w:rPr>
        <w:t>四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）球队如需暂停，更换球员，须由主教练向司球裁判员示意，经允许后方可进场。</w:t>
      </w:r>
    </w:p>
    <w:p>
      <w:pPr>
        <w:spacing w:line="360" w:lineRule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（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val="en-US" w:eastAsia="zh-CN" w:bidi="ar"/>
        </w:rPr>
        <w:t>五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）</w:t>
      </w: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关于加速比赛的规定：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</w:pP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投手首局可试投5球，局间试投3球。</w:t>
      </w:r>
    </w:p>
    <w:p>
      <w:pPr>
        <w:spacing w:line="360" w:lineRule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2.</w:t>
      </w: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裁判员宣布交换攻守后，双方队员要迅速跑上跑下，于1分钟内各就各位，准备比赛。</w:t>
      </w:r>
    </w:p>
    <w:p>
      <w:pPr>
        <w:spacing w:line="360" w:lineRule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3.</w:t>
      </w: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对击球员的规定：击球员须在主裁判宣布“击球员进箱”后10秒钟内到达击球区内并准备击球。对超时者司球裁判可示意投手投球。在比赛中击球员不得双脚踏出击球区看暗号，如违反，判一击。</w:t>
      </w:r>
    </w:p>
    <w:p>
      <w:pPr>
        <w:spacing w:line="360" w:lineRule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（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val="en-US" w:eastAsia="zh-CN" w:bidi="ar"/>
        </w:rPr>
        <w:t>六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）关于活垒包规定：</w:t>
      </w:r>
    </w:p>
    <w:p>
      <w:pPr>
        <w:spacing w:line="360" w:lineRule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</w:pP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1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.</w:t>
      </w: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跑垒员滑垒或扑垒而将垒包撞离原垒位，且无向下一个垒位前进的企图判安全。</w:t>
      </w:r>
    </w:p>
    <w:p>
      <w:pPr>
        <w:spacing w:line="360" w:lineRule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</w:pP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2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.</w:t>
      </w: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没有滑垒或扑垒而将垒包脱离原垒位的触杀有效。</w:t>
      </w:r>
    </w:p>
    <w:p>
      <w:pPr>
        <w:spacing w:line="360" w:lineRule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3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.</w:t>
      </w:r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shd w:val="clear" w:color="auto" w:fill="FFFFFF"/>
          <w:lang w:bidi="ar"/>
        </w:rPr>
        <w:t>连续进垒时，前位跑垒员将垒包带离时</w:t>
      </w:r>
      <w:bookmarkStart w:id="0" w:name="_GoBack"/>
      <w:r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，后位跑垒员踏垒位有效。</w:t>
      </w:r>
    </w:p>
    <w:p>
      <w:pPr>
        <w:spacing w:line="440" w:lineRule="exact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（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七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）器材：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比赛使用12寸硬式垒球，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比赛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球棒必须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符合中国垒球协会球棒目录或世界棒垒球联合会认证球棒目录WBSC20231018版内。</w:t>
      </w:r>
    </w:p>
    <w:p>
      <w:pPr>
        <w:spacing w:line="360" w:lineRule="auto"/>
        <w:rPr>
          <w:rFonts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（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八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）不执行指定</w:t>
      </w:r>
      <w:r>
        <w:rPr>
          <w:rFonts w:hint="eastAsia" w:ascii="仿宋" w:hAnsi="仿宋" w:eastAsia="仿宋" w:cs="仿宋"/>
          <w:color w:val="auto"/>
          <w:spacing w:val="7"/>
          <w:kern w:val="0"/>
          <w:sz w:val="24"/>
          <w:szCs w:val="24"/>
          <w:highlight w:val="none"/>
          <w:shd w:val="clear" w:color="auto" w:fill="FFFFFF"/>
          <w:lang w:eastAsia="zh-CN" w:bidi="ar"/>
        </w:rPr>
        <w:t>队</w:t>
      </w:r>
      <w:r>
        <w:rPr>
          <w:rFonts w:hint="eastAsia" w:ascii="仿宋" w:hAnsi="仿宋" w:eastAsia="仿宋" w:cs="仿宋"/>
          <w:color w:val="auto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员（</w:t>
      </w:r>
      <w:r>
        <w:rPr>
          <w:rFonts w:hint="eastAsia" w:ascii="仿宋" w:hAnsi="仿宋" w:eastAsia="仿宋" w:cs="仿宋"/>
          <w:color w:val="333333"/>
          <w:spacing w:val="7"/>
          <w:kern w:val="0"/>
          <w:sz w:val="24"/>
          <w:szCs w:val="24"/>
          <w:highlight w:val="none"/>
          <w:shd w:val="clear" w:color="auto" w:fill="FFFFFF"/>
          <w:lang w:bidi="ar"/>
        </w:rPr>
        <w:t>DP）规则。</w:t>
      </w:r>
    </w:p>
    <w:bookmarkEnd w:id="0"/>
    <w:p>
      <w:pPr/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  <w:embedRegular r:id="rId1" w:fontKey="{E22B38D4-5C2F-F4AF-2451-0166C483164F}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  <w:embedRegular r:id="rId2" w:fontKey="{F679EDFB-F726-F6D7-2451-0166D789D474}"/>
  </w:font>
  <w:font w:name="方正楷体简体"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3" w:fontKey="{B202B09D-3175-B1BC-2451-0166FC9F5EC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AB901"/>
    <w:multiLevelType w:val="singleLevel"/>
    <w:tmpl w:val="13FAB90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B6E43CE"/>
    <w:multiLevelType w:val="singleLevel"/>
    <w:tmpl w:val="5B6E43C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1700</Words>
  <Characters>1755</Characters>
  <Lines>0</Lines>
  <Paragraphs>0</Paragraphs>
  <TotalTime>0</TotalTime>
  <ScaleCrop>false</ScaleCrop>
  <LinksUpToDate>false</LinksUpToDate>
  <CharactersWithSpaces>1757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2022-02-16T10:04:00Z</dcterms:created>
  <dc:creator>回家看了</dc:creator>
  <cp:lastModifiedBy>iPhone</cp:lastModifiedBy>
  <dcterms:modified xsi:type="dcterms:W3CDTF">2024-03-25T18:25:40Z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2052-12.10.2</vt:lpwstr>
  </property>
  <property fmtid="{D5CDD505-2E9C-101B-9397-08002B2CF9AE}" pid="3" name="ICV">
    <vt:lpwstr>9FE58FC1755845B6A7379FD6D4222703</vt:lpwstr>
  </property>
</Properties>
</file>